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2DC50" w14:textId="36A269AD" w:rsidR="00E34F44" w:rsidRDefault="00E34F44" w:rsidP="0039243C">
      <w:pPr>
        <w:rPr>
          <w:rStyle w:val="SubtleReference"/>
        </w:rPr>
      </w:pPr>
      <w:r>
        <w:rPr>
          <w:noProof/>
        </w:rPr>
        <mc:AlternateContent>
          <mc:Choice Requires="wps">
            <w:drawing>
              <wp:anchor distT="0" distB="0" distL="114300" distR="114300" simplePos="0" relativeHeight="251665408" behindDoc="0" locked="0" layoutInCell="1" allowOverlap="1" wp14:anchorId="0193E2DC" wp14:editId="7040B76D">
                <wp:simplePos x="0" y="0"/>
                <wp:positionH relativeFrom="column">
                  <wp:posOffset>70485</wp:posOffset>
                </wp:positionH>
                <wp:positionV relativeFrom="paragraph">
                  <wp:posOffset>4445</wp:posOffset>
                </wp:positionV>
                <wp:extent cx="1149350" cy="530860"/>
                <wp:effectExtent l="0" t="0" r="0" b="5080"/>
                <wp:wrapSquare wrapText="bothSides"/>
                <wp:docPr id="9" name="Text Box 9"/>
                <wp:cNvGraphicFramePr/>
                <a:graphic xmlns:a="http://schemas.openxmlformats.org/drawingml/2006/main">
                  <a:graphicData uri="http://schemas.microsoft.com/office/word/2010/wordprocessingShape">
                    <wps:wsp>
                      <wps:cNvSpPr txBox="1"/>
                      <wps:spPr>
                        <a:xfrm>
                          <a:off x="0" y="0"/>
                          <a:ext cx="1149350" cy="530860"/>
                        </a:xfrm>
                        <a:prstGeom prst="rect">
                          <a:avLst/>
                        </a:prstGeom>
                        <a:noFill/>
                        <a:ln>
                          <a:noFill/>
                        </a:ln>
                        <a:effectLst/>
                      </wps:spPr>
                      <wps:txbx>
                        <w:txbxContent>
                          <w:p w14:paraId="5DC0E75C" w14:textId="50CAA4EB" w:rsidR="009646F4" w:rsidRPr="00AA38B9" w:rsidRDefault="009646F4" w:rsidP="00244779">
                            <w:pPr>
                              <w:pStyle w:val="Heading4"/>
                              <w:rPr>
                                <w:color w:val="FFFFFF" w:themeColor="background1"/>
                              </w:rPr>
                            </w:pPr>
                            <w:r w:rsidRPr="00AA38B9">
                              <w:rPr>
                                <w:color w:val="FFFFFF" w:themeColor="background1"/>
                              </w:rPr>
                              <w:t>Client</w:t>
                            </w:r>
                            <w:r w:rsidRPr="00AA38B9">
                              <w:rPr>
                                <w:b/>
                                <w:i/>
                                <w:color w:val="FFFFFF" w:themeColor="background1"/>
                              </w:rPr>
                              <w:t xml:space="preserve"> </w:t>
                            </w:r>
                            <w:r w:rsidR="009C5E50">
                              <w:rPr>
                                <w:rStyle w:val="Heading4Char"/>
                                <w:color w:val="FFFFFF" w:themeColor="background1"/>
                              </w:rPr>
                              <w:t>a</w:t>
                            </w:r>
                            <w:r w:rsidRPr="00AA38B9">
                              <w:rPr>
                                <w:rStyle w:val="Heading4Char"/>
                                <w:color w:val="FFFFFF" w:themeColor="background1"/>
                              </w:rPr>
                              <w:t>rticle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193E2DC" id="_x0000_t202" coordsize="21600,21600" o:spt="202" path="m,l,21600r21600,l21600,xe">
                <v:stroke joinstyle="miter"/>
                <v:path gradientshapeok="t" o:connecttype="rect"/>
              </v:shapetype>
              <v:shape id="Text Box 9" o:spid="_x0000_s1026" type="#_x0000_t202" style="position:absolute;margin-left:5.55pt;margin-top:.35pt;width:90.5pt;height:41.8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" filled="f" stroked="f">
                <v:textbox style="mso-fit-shape-to-text:t">
                  <w:txbxContent>
                    <w:p w14:paraId="5DC0E75C" w14:textId="50CAA4EB" w:rsidR="009646F4" w:rsidRPr="00AA38B9" w:rsidRDefault="009646F4" w:rsidP="00244779">
                      <w:pPr>
                        <w:pStyle w:val="Heading4"/>
                        <w:rPr>
                          <w:color w:val="FFFFFF" w:themeColor="background1"/>
                        </w:rPr>
                      </w:pPr>
                      <w:r w:rsidRPr="00AA38B9">
                        <w:rPr>
                          <w:color w:val="FFFFFF" w:themeColor="background1"/>
                        </w:rPr>
                        <w:t>Client</w:t>
                      </w:r>
                      <w:r w:rsidRPr="00AA38B9">
                        <w:rPr>
                          <w:b/>
                          <w:i/>
                          <w:color w:val="FFFFFF" w:themeColor="background1"/>
                        </w:rPr>
                        <w:t xml:space="preserve"> </w:t>
                      </w:r>
                      <w:r w:rsidR="009C5E50">
                        <w:rPr>
                          <w:rStyle w:val="Heading4Char"/>
                          <w:color w:val="FFFFFF" w:themeColor="background1"/>
                        </w:rPr>
                        <w:t>a</w:t>
                      </w:r>
                      <w:r w:rsidRPr="00AA38B9">
                        <w:rPr>
                          <w:rStyle w:val="Heading4Char"/>
                          <w:color w:val="FFFFFF" w:themeColor="background1"/>
                        </w:rPr>
                        <w:t>rticle</w:t>
                      </w:r>
                    </w:p>
                  </w:txbxContent>
                </v:textbox>
                <w10:wrap type="square"/>
              </v:shape>
            </w:pict>
          </mc:Fallback>
        </mc:AlternateContent>
      </w:r>
      <w:r>
        <w:rPr>
          <w:noProof/>
          <w:lang w:val="en-US"/>
        </w:rPr>
        <mc:AlternateContent>
          <mc:Choice Requires="wps">
            <w:drawing>
              <wp:anchor distT="0" distB="0" distL="114300" distR="114300" simplePos="0" relativeHeight="251663360" behindDoc="0" locked="0" layoutInCell="1" allowOverlap="1" wp14:anchorId="3078F026" wp14:editId="63F5EBAE">
                <wp:simplePos x="0" y="0"/>
                <wp:positionH relativeFrom="column">
                  <wp:posOffset>-39370</wp:posOffset>
                </wp:positionH>
                <wp:positionV relativeFrom="paragraph">
                  <wp:posOffset>0</wp:posOffset>
                </wp:positionV>
                <wp:extent cx="5601335" cy="459740"/>
                <wp:effectExtent l="0" t="0" r="12065" b="0"/>
                <wp:wrapThrough wrapText="bothSides">
                  <wp:wrapPolygon edited="0">
                    <wp:start x="0" y="0"/>
                    <wp:lineTo x="0" y="20287"/>
                    <wp:lineTo x="21549" y="20287"/>
                    <wp:lineTo x="21549" y="0"/>
                    <wp:lineTo x="0" y="0"/>
                  </wp:wrapPolygon>
                </wp:wrapThrough>
                <wp:docPr id="7" name="Rectangle 7"/>
                <wp:cNvGraphicFramePr/>
                <a:graphic xmlns:a="http://schemas.openxmlformats.org/drawingml/2006/main">
                  <a:graphicData uri="http://schemas.microsoft.com/office/word/2010/wordprocessingShape">
                    <wps:wsp>
                      <wps:cNvSpPr/>
                      <wps:spPr>
                        <a:xfrm>
                          <a:off x="0" y="0"/>
                          <a:ext cx="5601335" cy="459740"/>
                        </a:xfrm>
                        <a:prstGeom prst="rect">
                          <a:avLst/>
                        </a:prstGeom>
                        <a:solidFill>
                          <a:srgbClr val="6014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1BFDAD3E" id="Rectangle 7" o:spid="_x0000_s1026" style="position:absolute;margin-left:-3.1pt;margin-top:0;width:441.05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" fillcolor="#60143e" stroked="f" strokeweight="2pt">
                <w10:wrap type="through"/>
              </v:rect>
            </w:pict>
          </mc:Fallback>
        </mc:AlternateContent>
      </w:r>
    </w:p>
    <w:p w14:paraId="028C9359" w14:textId="23214E9D" w:rsidR="003404D2" w:rsidRDefault="003404D2" w:rsidP="0039243C">
      <w:pPr>
        <w:rPr>
          <w:rFonts w:eastAsiaTheme="majorEastAsia" w:cstheme="majorBidi"/>
          <w:bCs/>
          <w:color w:val="7F7F7F" w:themeColor="text1" w:themeTint="80"/>
          <w:sz w:val="44"/>
          <w:szCs w:val="44"/>
        </w:rPr>
      </w:pPr>
      <w:r w:rsidRPr="003404D2">
        <w:t xml:space="preserve"> </w:t>
      </w:r>
      <w:r w:rsidR="00197F2C" w:rsidRPr="00197F2C">
        <w:rPr>
          <w:rFonts w:eastAsiaTheme="majorEastAsia" w:cstheme="majorBidi"/>
          <w:bCs/>
          <w:color w:val="7F7F7F" w:themeColor="text1" w:themeTint="80"/>
          <w:sz w:val="44"/>
          <w:szCs w:val="44"/>
        </w:rPr>
        <w:t>Aged care and resident fees</w:t>
      </w:r>
    </w:p>
    <w:p w14:paraId="060987EC" w14:textId="01ABB153" w:rsidR="009A0116" w:rsidRPr="00C61E83" w:rsidRDefault="00197F2C" w:rsidP="0039243C">
      <w:pPr>
        <w:rPr>
          <w:rStyle w:val="SubtleReference"/>
        </w:rPr>
      </w:pPr>
      <w:r>
        <w:rPr>
          <w:noProof/>
          <w:color w:val="C00000"/>
          <w:lang w:val="en-US"/>
        </w:rPr>
        <mc:AlternateContent>
          <mc:Choice Requires="wps">
            <w:drawing>
              <wp:anchor distT="0" distB="0" distL="114300" distR="114300" simplePos="0" relativeHeight="251666432" behindDoc="0" locked="0" layoutInCell="1" allowOverlap="1" wp14:anchorId="6CA3E358" wp14:editId="32BE71C1">
                <wp:simplePos x="0" y="0"/>
                <wp:positionH relativeFrom="page">
                  <wp:align>center</wp:align>
                </wp:positionH>
                <wp:positionV relativeFrom="paragraph">
                  <wp:posOffset>71120</wp:posOffset>
                </wp:positionV>
                <wp:extent cx="56007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600700" cy="0"/>
                        </a:xfrm>
                        <a:prstGeom prst="line">
                          <a:avLst/>
                        </a:prstGeom>
                        <a:ln>
                          <a:solidFill>
                            <a:srgbClr val="60143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32C14A" id="Straight Connector 10" o:spid="_x0000_s1026" style="position:absolute;z-index:251666432;visibility:visible;mso-wrap-style:square;mso-wrap-distance-left:9pt;mso-wrap-distance-top:0;mso-wrap-distance-right:9pt;mso-wrap-distance-bottom:0;mso-position-horizontal:center;mso-position-horizontal-relative:page;mso-position-vertical:absolute;mso-position-vertical-relative:text" from="0,5.6pt" to="441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" strokecolor="#60143e">
                <w10:wrap anchorx="page"/>
              </v:line>
            </w:pict>
          </mc:Fallback>
        </mc:AlternateContent>
      </w:r>
      <w:r w:rsidR="00E34F44">
        <w:rPr>
          <w:rStyle w:val="SubtleReference"/>
        </w:rPr>
        <w:br/>
      </w:r>
      <w:r w:rsidR="009A0116" w:rsidRPr="006A0AF7">
        <w:rPr>
          <w:rStyle w:val="SubtleReference"/>
        </w:rPr>
        <w:t>Note: Article to be issued on the adviser’s letterhead or on the adviser’s website</w:t>
      </w:r>
    </w:p>
    <w:p w14:paraId="58A6083E" w14:textId="2376BDAB" w:rsidR="00E34F44" w:rsidRDefault="00E34F44" w:rsidP="0039243C"/>
    <w:p w14:paraId="69D12656" w14:textId="77777777" w:rsidR="00197F2C" w:rsidRPr="00197F2C" w:rsidRDefault="00197F2C" w:rsidP="00197F2C">
      <w:pPr>
        <w:rPr>
          <w:b/>
        </w:rPr>
      </w:pPr>
      <w:r w:rsidRPr="00197F2C">
        <w:rPr>
          <w:b/>
        </w:rPr>
        <w:t>With increasing life expectancies and improvements in medical technology we can all expect to have longer and more productive retirements. But there is still a high chance of needing help with daily living activities and medical care, especially at older ages.</w:t>
      </w:r>
    </w:p>
    <w:p w14:paraId="233FD6CE" w14:textId="77777777" w:rsidR="00197F2C" w:rsidRDefault="00197F2C" w:rsidP="00197F2C">
      <w:r>
        <w:t>Accessing support services does not always mean you have to move out of your home. Help to stay in your home longer is available through home care services but these services do not work for everyone, especially those living alone or with high care needs.</w:t>
      </w:r>
    </w:p>
    <w:p w14:paraId="6B1D2E91" w14:textId="48932535" w:rsidR="00197F2C" w:rsidRDefault="00197F2C" w:rsidP="00197F2C">
      <w:r>
        <w:t xml:space="preserve">So for some people, a move into residential aged care may be a better alternative. Careful planning ahead of time can make all the difference and remove a lot of the stress at the time when a decision needs to be made. </w:t>
      </w:r>
    </w:p>
    <w:p w14:paraId="50074D40" w14:textId="77777777" w:rsidR="001A5F0B" w:rsidRDefault="001A5F0B" w:rsidP="00197F2C"/>
    <w:p w14:paraId="12C076A9" w14:textId="77777777" w:rsidR="00197F2C" w:rsidRDefault="00197F2C" w:rsidP="00197F2C">
      <w:pPr>
        <w:pStyle w:val="Heading3"/>
      </w:pPr>
      <w:r>
        <w:t>What does care cost?</w:t>
      </w:r>
    </w:p>
    <w:p w14:paraId="7C94F8DF" w14:textId="77777777" w:rsidR="00197F2C" w:rsidRDefault="00197F2C" w:rsidP="00197F2C">
      <w:r>
        <w:t>The cost to care for someone in a residential service can be as high as $245.62 per day (around $89,651 per year) but thankfully these costs are heavily subsidised by the government.</w:t>
      </w:r>
    </w:p>
    <w:p w14:paraId="348653D9" w14:textId="77777777" w:rsidR="00197F2C" w:rsidRDefault="00197F2C" w:rsidP="00197F2C">
      <w:r>
        <w:t>The Federal Government spends over $14 billion a year on aged care.  This is in addition to costs incurred by care providers for building and maintaining the facilities and the fees paid by residents.</w:t>
      </w:r>
    </w:p>
    <w:p w14:paraId="0962CB0B" w14:textId="117A8D88" w:rsidR="00197F2C" w:rsidRDefault="00197F2C" w:rsidP="00197F2C">
      <w:r>
        <w:t>With the percentage of Australia’s population over age 85 set to triple over the next thirty years the pressure on finances is increasing and the rules for fees changed on 1 July 2014.</w:t>
      </w:r>
    </w:p>
    <w:p w14:paraId="2594627D" w14:textId="77777777" w:rsidR="001A5F0B" w:rsidRDefault="001A5F0B" w:rsidP="00197F2C"/>
    <w:p w14:paraId="54BF22D5" w14:textId="77777777" w:rsidR="00197F2C" w:rsidRDefault="00197F2C" w:rsidP="00197F2C">
      <w:pPr>
        <w:pStyle w:val="Heading3"/>
      </w:pPr>
      <w:r>
        <w:t>What are the rules for fees?</w:t>
      </w:r>
    </w:p>
    <w:p w14:paraId="1D571D7E" w14:textId="432B78C6" w:rsidR="00197F2C" w:rsidRDefault="00197F2C" w:rsidP="00197F2C">
      <w:r>
        <w:t>The range of fees and calculation methods may appear complex but fees can be divided into four categories. The diagram below provides a quick overview of the fee structure for residential aged care.</w:t>
      </w:r>
    </w:p>
    <w:p w14:paraId="1C4AADDE" w14:textId="77FCF0AA" w:rsidR="001A5F0B" w:rsidRDefault="001A5F0B" w:rsidP="00197F2C"/>
    <w:p w14:paraId="53F47BE1" w14:textId="12C63951" w:rsidR="001A5F0B" w:rsidRDefault="001A5F0B" w:rsidP="00197F2C"/>
    <w:tbl>
      <w:tblPr>
        <w:tblStyle w:val="TableGrid"/>
        <w:tblpPr w:leftFromText="180" w:rightFromText="180" w:vertAnchor="text" w:horzAnchor="margin" w:tblpXSpec="center" w:tblpY="672"/>
        <w:tblW w:w="105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single" w:sz="12" w:space="0" w:color="FFFFFF" w:themeColor="background1"/>
        </w:tblBorders>
        <w:shd w:val="clear" w:color="auto" w:fill="F2F2F2" w:themeFill="background1" w:themeFillShade="F2"/>
        <w:tblLayout w:type="fixed"/>
        <w:tblCellMar>
          <w:top w:w="227" w:type="dxa"/>
          <w:left w:w="510" w:type="dxa"/>
          <w:bottom w:w="227" w:type="dxa"/>
          <w:right w:w="510" w:type="dxa"/>
        </w:tblCellMar>
        <w:tblLook w:val="04A0" w:firstRow="1" w:lastRow="0" w:firstColumn="1" w:lastColumn="0" w:noHBand="0" w:noVBand="1"/>
      </w:tblPr>
      <w:tblGrid>
        <w:gridCol w:w="2888"/>
        <w:gridCol w:w="2352"/>
        <w:gridCol w:w="2847"/>
        <w:gridCol w:w="2455"/>
      </w:tblGrid>
      <w:tr w:rsidR="00E04017" w14:paraId="54907876" w14:textId="77777777" w:rsidTr="00CA35D7">
        <w:trPr>
          <w:trHeight w:val="1918"/>
        </w:trPr>
        <w:tc>
          <w:tcPr>
            <w:tcW w:w="2888" w:type="dxa"/>
            <w:shd w:val="clear" w:color="auto" w:fill="F2F2F2" w:themeFill="background1" w:themeFillShade="F2"/>
          </w:tcPr>
          <w:p w14:paraId="6E315BA0" w14:textId="77777777" w:rsidR="002327B7" w:rsidRPr="00D30D8E" w:rsidRDefault="002327B7" w:rsidP="00E04017">
            <w:pPr>
              <w:pStyle w:val="Tableheading"/>
              <w:ind w:left="0"/>
              <w:rPr>
                <w:sz w:val="18"/>
                <w:szCs w:val="18"/>
              </w:rPr>
            </w:pPr>
            <w:r w:rsidRPr="00D30D8E">
              <w:rPr>
                <w:sz w:val="18"/>
                <w:szCs w:val="18"/>
              </w:rPr>
              <w:t>Accommodation payment</w:t>
            </w:r>
          </w:p>
          <w:p w14:paraId="769507AD" w14:textId="77777777" w:rsidR="002327B7" w:rsidRPr="00D30D8E" w:rsidRDefault="002327B7" w:rsidP="00E04017">
            <w:pPr>
              <w:pStyle w:val="ListParagraph"/>
              <w:numPr>
                <w:ilvl w:val="0"/>
                <w:numId w:val="24"/>
              </w:numPr>
              <w:spacing w:line="276" w:lineRule="auto"/>
              <w:rPr>
                <w:sz w:val="18"/>
                <w:szCs w:val="18"/>
              </w:rPr>
            </w:pPr>
            <w:r w:rsidRPr="00D30D8E">
              <w:rPr>
                <w:sz w:val="18"/>
                <w:szCs w:val="18"/>
              </w:rPr>
              <w:t>Published rates</w:t>
            </w:r>
          </w:p>
          <w:p w14:paraId="4E54701B" w14:textId="77777777" w:rsidR="002327B7" w:rsidRPr="001917B1" w:rsidRDefault="002327B7" w:rsidP="00E04017">
            <w:pPr>
              <w:pStyle w:val="ListParagraph"/>
              <w:numPr>
                <w:ilvl w:val="0"/>
                <w:numId w:val="24"/>
              </w:numPr>
              <w:spacing w:line="276" w:lineRule="auto"/>
              <w:rPr>
                <w:sz w:val="18"/>
                <w:szCs w:val="18"/>
              </w:rPr>
            </w:pPr>
            <w:r w:rsidRPr="00D30D8E">
              <w:rPr>
                <w:sz w:val="18"/>
                <w:szCs w:val="18"/>
              </w:rPr>
              <w:t>RAD or DAP</w:t>
            </w:r>
          </w:p>
          <w:p w14:paraId="185DAA2E" w14:textId="77777777" w:rsidR="002327B7" w:rsidRPr="00A67772" w:rsidRDefault="002327B7" w:rsidP="00E04017">
            <w:pPr>
              <w:pStyle w:val="ListParagraph"/>
              <w:numPr>
                <w:ilvl w:val="0"/>
                <w:numId w:val="24"/>
              </w:numPr>
              <w:spacing w:line="276" w:lineRule="auto"/>
            </w:pPr>
            <w:r w:rsidRPr="001917B1">
              <w:rPr>
                <w:sz w:val="18"/>
                <w:szCs w:val="18"/>
              </w:rPr>
              <w:t>Concessions for low-means</w:t>
            </w:r>
          </w:p>
        </w:tc>
        <w:tc>
          <w:tcPr>
            <w:tcW w:w="2352" w:type="dxa"/>
            <w:shd w:val="clear" w:color="auto" w:fill="F2F2F2" w:themeFill="background1" w:themeFillShade="F2"/>
          </w:tcPr>
          <w:p w14:paraId="5C566F8A" w14:textId="77777777" w:rsidR="002327B7" w:rsidRPr="00D30D8E" w:rsidRDefault="002327B7" w:rsidP="00E04017">
            <w:pPr>
              <w:pStyle w:val="Tableheading"/>
              <w:ind w:left="0"/>
              <w:rPr>
                <w:sz w:val="18"/>
                <w:szCs w:val="18"/>
              </w:rPr>
            </w:pPr>
            <w:r w:rsidRPr="00D30D8E">
              <w:rPr>
                <w:sz w:val="18"/>
                <w:szCs w:val="18"/>
              </w:rPr>
              <w:t>Basic daily care fee</w:t>
            </w:r>
          </w:p>
          <w:p w14:paraId="7B01F040" w14:textId="77777777" w:rsidR="002327B7" w:rsidRPr="00D30D8E" w:rsidRDefault="002327B7" w:rsidP="00E04017">
            <w:pPr>
              <w:pStyle w:val="ListParagraph"/>
              <w:numPr>
                <w:ilvl w:val="0"/>
                <w:numId w:val="24"/>
              </w:numPr>
              <w:spacing w:line="276" w:lineRule="auto"/>
              <w:rPr>
                <w:sz w:val="18"/>
                <w:szCs w:val="18"/>
              </w:rPr>
            </w:pPr>
            <w:r w:rsidRPr="00D30D8E">
              <w:rPr>
                <w:sz w:val="18"/>
                <w:szCs w:val="18"/>
              </w:rPr>
              <w:t>All residents</w:t>
            </w:r>
          </w:p>
          <w:p w14:paraId="146AAF67" w14:textId="77777777" w:rsidR="002327B7" w:rsidRPr="00D30D8E" w:rsidRDefault="002327B7" w:rsidP="00E04017">
            <w:pPr>
              <w:pStyle w:val="ListParagraph"/>
              <w:numPr>
                <w:ilvl w:val="0"/>
                <w:numId w:val="24"/>
              </w:numPr>
              <w:spacing w:line="276" w:lineRule="auto"/>
              <w:rPr>
                <w:sz w:val="18"/>
                <w:szCs w:val="18"/>
              </w:rPr>
            </w:pPr>
            <w:r w:rsidRPr="00D30D8E">
              <w:rPr>
                <w:sz w:val="18"/>
                <w:szCs w:val="18"/>
              </w:rPr>
              <w:t>$49.07 per day</w:t>
            </w:r>
          </w:p>
        </w:tc>
        <w:tc>
          <w:tcPr>
            <w:tcW w:w="2847" w:type="dxa"/>
            <w:shd w:val="clear" w:color="auto" w:fill="F2F2F2" w:themeFill="background1" w:themeFillShade="F2"/>
          </w:tcPr>
          <w:p w14:paraId="5BD7C879" w14:textId="77777777" w:rsidR="002327B7" w:rsidRPr="00D30D8E" w:rsidRDefault="002327B7" w:rsidP="00E04017">
            <w:pPr>
              <w:pStyle w:val="Tableheading"/>
              <w:ind w:left="0"/>
              <w:rPr>
                <w:sz w:val="18"/>
                <w:szCs w:val="18"/>
              </w:rPr>
            </w:pPr>
            <w:r w:rsidRPr="00D30D8E">
              <w:rPr>
                <w:sz w:val="18"/>
                <w:szCs w:val="18"/>
              </w:rPr>
              <w:t>Means-tested fee</w:t>
            </w:r>
            <w:bookmarkStart w:id="0" w:name="_GoBack"/>
            <w:bookmarkEnd w:id="0"/>
          </w:p>
          <w:p w14:paraId="0032C3CB" w14:textId="77777777" w:rsidR="002327B7" w:rsidRPr="00D30D8E" w:rsidRDefault="002327B7" w:rsidP="00E04017">
            <w:pPr>
              <w:pStyle w:val="ListParagraph"/>
              <w:numPr>
                <w:ilvl w:val="0"/>
                <w:numId w:val="24"/>
              </w:numPr>
              <w:spacing w:line="276" w:lineRule="auto"/>
              <w:rPr>
                <w:sz w:val="18"/>
                <w:szCs w:val="18"/>
              </w:rPr>
            </w:pPr>
            <w:r w:rsidRPr="00D30D8E">
              <w:rPr>
                <w:sz w:val="18"/>
                <w:szCs w:val="18"/>
              </w:rPr>
              <w:t>Based on income &amp; assets</w:t>
            </w:r>
          </w:p>
          <w:p w14:paraId="368E038F" w14:textId="77777777" w:rsidR="002327B7" w:rsidRPr="00D30D8E" w:rsidRDefault="002327B7" w:rsidP="00E04017">
            <w:pPr>
              <w:pStyle w:val="ListParagraph"/>
              <w:numPr>
                <w:ilvl w:val="0"/>
                <w:numId w:val="24"/>
              </w:numPr>
              <w:spacing w:line="276" w:lineRule="auto"/>
              <w:rPr>
                <w:sz w:val="18"/>
                <w:szCs w:val="18"/>
              </w:rPr>
            </w:pPr>
            <w:r w:rsidRPr="00D30D8E">
              <w:rPr>
                <w:sz w:val="18"/>
                <w:szCs w:val="18"/>
              </w:rPr>
              <w:t>Up to $26,381 per year or $63,313 lifetime</w:t>
            </w:r>
          </w:p>
        </w:tc>
        <w:tc>
          <w:tcPr>
            <w:tcW w:w="2455" w:type="dxa"/>
            <w:shd w:val="clear" w:color="auto" w:fill="F2F2F2" w:themeFill="background1" w:themeFillShade="F2"/>
          </w:tcPr>
          <w:p w14:paraId="012B635D" w14:textId="77777777" w:rsidR="002327B7" w:rsidRPr="00D30D8E" w:rsidRDefault="002327B7" w:rsidP="00E04017">
            <w:pPr>
              <w:pStyle w:val="Tableheading"/>
              <w:ind w:left="0"/>
              <w:rPr>
                <w:sz w:val="18"/>
                <w:szCs w:val="18"/>
              </w:rPr>
            </w:pPr>
            <w:r w:rsidRPr="00D30D8E">
              <w:rPr>
                <w:sz w:val="18"/>
                <w:szCs w:val="18"/>
              </w:rPr>
              <w:t>Additional services fees</w:t>
            </w:r>
          </w:p>
          <w:p w14:paraId="788FA38D" w14:textId="77777777" w:rsidR="002327B7" w:rsidRPr="00D30D8E" w:rsidRDefault="002327B7" w:rsidP="00E04017">
            <w:pPr>
              <w:pStyle w:val="ListParagraph"/>
              <w:numPr>
                <w:ilvl w:val="0"/>
                <w:numId w:val="24"/>
              </w:numPr>
              <w:spacing w:line="276" w:lineRule="auto"/>
              <w:rPr>
                <w:sz w:val="18"/>
                <w:szCs w:val="18"/>
              </w:rPr>
            </w:pPr>
            <w:r w:rsidRPr="00D30D8E">
              <w:rPr>
                <w:sz w:val="18"/>
                <w:szCs w:val="18"/>
              </w:rPr>
              <w:t>Extra-service package</w:t>
            </w:r>
          </w:p>
          <w:p w14:paraId="39823DFA" w14:textId="77777777" w:rsidR="002327B7" w:rsidRPr="00D30D8E" w:rsidRDefault="002327B7" w:rsidP="00E04017">
            <w:pPr>
              <w:pStyle w:val="ListParagraph"/>
              <w:numPr>
                <w:ilvl w:val="0"/>
                <w:numId w:val="24"/>
              </w:numPr>
              <w:spacing w:line="276" w:lineRule="auto"/>
              <w:rPr>
                <w:sz w:val="18"/>
                <w:szCs w:val="18"/>
              </w:rPr>
            </w:pPr>
            <w:r w:rsidRPr="00D30D8E">
              <w:rPr>
                <w:sz w:val="18"/>
                <w:szCs w:val="18"/>
              </w:rPr>
              <w:t>Additional services opt in or out</w:t>
            </w:r>
          </w:p>
        </w:tc>
      </w:tr>
    </w:tbl>
    <w:p w14:paraId="4BD8ADDB" w14:textId="52929089" w:rsidR="00197F2C" w:rsidRDefault="00197F2C" w:rsidP="0039243C"/>
    <w:p w14:paraId="42CD2AC4" w14:textId="53EE83F5" w:rsidR="002327B7" w:rsidRDefault="002327B7" w:rsidP="001A5F0B"/>
    <w:p w14:paraId="31DF6029" w14:textId="5991A0A8" w:rsidR="001A5F0B" w:rsidRDefault="001A5F0B" w:rsidP="001A5F0B">
      <w:r>
        <w:t>The important things to know about the current rules are:</w:t>
      </w:r>
    </w:p>
    <w:p w14:paraId="6178E46D" w14:textId="77777777" w:rsidR="001A5F0B" w:rsidRDefault="001A5F0B" w:rsidP="001A5F0B">
      <w:pPr>
        <w:pStyle w:val="ListParagraph"/>
        <w:numPr>
          <w:ilvl w:val="0"/>
          <w:numId w:val="23"/>
        </w:numPr>
      </w:pPr>
      <w:r>
        <w:t>There is no distinction between low care and high care so the accommodation payment rules apply to all subsidised residential care places.</w:t>
      </w:r>
    </w:p>
    <w:p w14:paraId="75E01A23" w14:textId="77777777" w:rsidR="001A5F0B" w:rsidRDefault="001A5F0B" w:rsidP="001A5F0B">
      <w:pPr>
        <w:pStyle w:val="ListParagraph"/>
        <w:numPr>
          <w:ilvl w:val="0"/>
          <w:numId w:val="23"/>
        </w:numPr>
      </w:pPr>
      <w:r>
        <w:t>The accommodation payment is quoted as a lump sum (called a refundable accommodation deposit – RAD) and an equivalent daily fee (called the daily accommodation payment – DAP). You can check the rates at www.myagedcare.gov.au/service-finders.</w:t>
      </w:r>
    </w:p>
    <w:p w14:paraId="3157AA2D" w14:textId="77777777" w:rsidR="001A5F0B" w:rsidRDefault="001A5F0B" w:rsidP="001A5F0B">
      <w:pPr>
        <w:pStyle w:val="ListParagraph"/>
        <w:numPr>
          <w:ilvl w:val="0"/>
          <w:numId w:val="23"/>
        </w:numPr>
      </w:pPr>
      <w:r>
        <w:t>Once you have accepted a place and signed the Resident Agreement you will have 28 days to decide which fee option to pay.</w:t>
      </w:r>
    </w:p>
    <w:p w14:paraId="0B2844C3" w14:textId="77777777" w:rsidR="001A5F0B" w:rsidRDefault="001A5F0B" w:rsidP="001A5F0B">
      <w:pPr>
        <w:pStyle w:val="ListParagraph"/>
        <w:numPr>
          <w:ilvl w:val="0"/>
          <w:numId w:val="23"/>
        </w:numPr>
      </w:pPr>
      <w:r>
        <w:t>If you pay the lump sum RAD it is fully refundable when you leave care and repayment is guaranteed by the Federal Government provided you have paid the RAD to an approved service provider.</w:t>
      </w:r>
    </w:p>
    <w:p w14:paraId="22E29A19" w14:textId="77777777" w:rsidR="001A5F0B" w:rsidRDefault="001A5F0B" w:rsidP="001A5F0B">
      <w:pPr>
        <w:pStyle w:val="ListParagraph"/>
        <w:numPr>
          <w:ilvl w:val="0"/>
          <w:numId w:val="23"/>
        </w:numPr>
      </w:pPr>
      <w:r>
        <w:t xml:space="preserve">Depending on your income and assets you may be asked to pay a means-tested daily care fee. This increases how much you pay and reduces how much the government pays for your care.  This fee is capped over a year and over your lifetime (both indexed).  </w:t>
      </w:r>
    </w:p>
    <w:p w14:paraId="6A3E7FD4" w14:textId="77777777" w:rsidR="001A5F0B" w:rsidRDefault="001A5F0B" w:rsidP="001A5F0B">
      <w:pPr>
        <w:pStyle w:val="ListParagraph"/>
        <w:numPr>
          <w:ilvl w:val="0"/>
          <w:numId w:val="23"/>
        </w:numPr>
      </w:pPr>
      <w:r>
        <w:t>If you moved into care before 1 July 2014, the rules are different. The previous rules continue to apply unless you move from one service provider to another (without a gap of 28 days or more) and choose to have the new rules apply.</w:t>
      </w:r>
    </w:p>
    <w:p w14:paraId="7ABAE48B" w14:textId="77777777" w:rsidR="001A5F0B" w:rsidRDefault="001A5F0B" w:rsidP="001A5F0B"/>
    <w:p w14:paraId="6EDEA45A" w14:textId="77777777" w:rsidR="001A5F0B" w:rsidRDefault="001A5F0B" w:rsidP="001A5F0B">
      <w:pPr>
        <w:pStyle w:val="Heading3"/>
      </w:pPr>
      <w:r>
        <w:t>Things to consider</w:t>
      </w:r>
    </w:p>
    <w:p w14:paraId="6E53F446" w14:textId="77777777" w:rsidR="001A5F0B" w:rsidRDefault="001A5F0B" w:rsidP="001A5F0B">
      <w:r>
        <w:t>Financial aspects are only one consideration when preparing for your care years. It is more important to find the right care service at the right time.</w:t>
      </w:r>
    </w:p>
    <w:p w14:paraId="12DA7D2D" w14:textId="77777777" w:rsidR="001A5F0B" w:rsidRDefault="001A5F0B" w:rsidP="001A5F0B">
      <w:r>
        <w:t xml:space="preserve">Your available options may depend on your family arrangements and your health requirements. But if your finances are carefully planned, you will have more choices and greater control over where and how you live and receive care. </w:t>
      </w:r>
    </w:p>
    <w:p w14:paraId="6300DC65" w14:textId="77777777" w:rsidR="001A5F0B" w:rsidRDefault="001A5F0B" w:rsidP="001A5F0B"/>
    <w:p w14:paraId="19526D1A" w14:textId="77777777" w:rsidR="001A5F0B" w:rsidRDefault="001A5F0B" w:rsidP="001A5F0B"/>
    <w:p w14:paraId="3313FF9C" w14:textId="75069A17" w:rsidR="001A5F0B" w:rsidRDefault="001A5F0B" w:rsidP="001A5F0B">
      <w:r>
        <w:t xml:space="preserve">Advice from an adviser who is experienced in aged care is key. Advice can help you see the bigger picture and take into consideration your family needs and estate planning considerations as well as strategies to generate sufficient cashflow, including access to government benefits and concessions. </w:t>
      </w:r>
    </w:p>
    <w:p w14:paraId="5BBFB9C6" w14:textId="7551EDFA" w:rsidR="00197F2C" w:rsidRDefault="001A5F0B" w:rsidP="001A5F0B">
      <w:r>
        <w:t>If you think your plans need to be reviewed or you would like further information on aspects of aged care, contact us to make an appointment today.</w:t>
      </w:r>
    </w:p>
    <w:p w14:paraId="1C45C648" w14:textId="3BD46F3B" w:rsidR="00197F2C" w:rsidRDefault="00197F2C" w:rsidP="0039243C"/>
    <w:p w14:paraId="5FBBF150" w14:textId="482583D2" w:rsidR="00197F2C" w:rsidRDefault="00197F2C" w:rsidP="0039243C"/>
    <w:p w14:paraId="623EEF7F" w14:textId="77777777" w:rsidR="00197F2C" w:rsidRDefault="00197F2C" w:rsidP="0039243C"/>
    <w:p w14:paraId="2D319158" w14:textId="77777777" w:rsidR="005608A0" w:rsidRDefault="009A0116" w:rsidP="0039243C">
      <w:pPr>
        <w:rPr>
          <w:sz w:val="20"/>
          <w:szCs w:val="20"/>
        </w:rPr>
      </w:pPr>
      <w:r w:rsidRPr="00B956BE">
        <w:rPr>
          <w:b/>
          <w:sz w:val="20"/>
          <w:szCs w:val="20"/>
          <w:highlight w:val="yellow"/>
        </w:rPr>
        <w:t>Disclaimer</w:t>
      </w:r>
      <w:r w:rsidRPr="00B956BE">
        <w:rPr>
          <w:sz w:val="20"/>
          <w:szCs w:val="20"/>
          <w:highlight w:val="yellow"/>
        </w:rPr>
        <w:t xml:space="preserve">: The information in this article is general and does not take into account your particular circumstances. We recommend specific tax or legal advice be sought before any action is taken and refer to the relevant Product Disclosure Statement before investing in any product. Rates current </w:t>
      </w:r>
      <w:r w:rsidR="00BB57DC" w:rsidRPr="00B956BE">
        <w:rPr>
          <w:sz w:val="20"/>
          <w:szCs w:val="20"/>
          <w:highlight w:val="yellow"/>
        </w:rPr>
        <w:t xml:space="preserve">to </w:t>
      </w:r>
      <w:r w:rsidR="005413D3" w:rsidRPr="00B956BE">
        <w:rPr>
          <w:sz w:val="20"/>
          <w:szCs w:val="20"/>
          <w:highlight w:val="yellow"/>
        </w:rPr>
        <w:t>19 September</w:t>
      </w:r>
      <w:r w:rsidRPr="00B956BE">
        <w:rPr>
          <w:sz w:val="20"/>
          <w:szCs w:val="20"/>
          <w:highlight w:val="yellow"/>
        </w:rPr>
        <w:t xml:space="preserve"> 201</w:t>
      </w:r>
      <w:r w:rsidR="00BB57DC" w:rsidRPr="00B956BE">
        <w:rPr>
          <w:sz w:val="20"/>
          <w:szCs w:val="20"/>
          <w:highlight w:val="yellow"/>
        </w:rPr>
        <w:t>7</w:t>
      </w:r>
      <w:r w:rsidRPr="00B956BE">
        <w:rPr>
          <w:sz w:val="20"/>
          <w:szCs w:val="20"/>
          <w:highlight w:val="yellow"/>
        </w:rPr>
        <w:t>.</w:t>
      </w:r>
      <w:r w:rsidR="00137E07">
        <w:rPr>
          <w:sz w:val="20"/>
          <w:szCs w:val="20"/>
        </w:rPr>
        <w:t xml:space="preserve"> </w:t>
      </w:r>
    </w:p>
    <w:p w14:paraId="4D8122F4" w14:textId="76C636CF" w:rsidR="00897632" w:rsidRDefault="00137E07" w:rsidP="0039243C">
      <w:r>
        <w:rPr>
          <w:sz w:val="20"/>
          <w:szCs w:val="20"/>
        </w:rPr>
        <w:t xml:space="preserve"> </w:t>
      </w:r>
      <w:r w:rsidR="009A0116" w:rsidRPr="00B956BE">
        <w:rPr>
          <w:sz w:val="20"/>
          <w:szCs w:val="20"/>
          <w:highlight w:val="yellow"/>
        </w:rPr>
        <w:t>Add your proper disclaimer with AFSL details.</w:t>
      </w:r>
      <w:r w:rsidR="009A0116" w:rsidRPr="00B956BE">
        <w:rPr>
          <w:sz w:val="20"/>
          <w:szCs w:val="20"/>
        </w:rPr>
        <w:t xml:space="preserve"> </w:t>
      </w:r>
    </w:p>
    <w:sectPr w:rsidR="00897632" w:rsidSect="00A87688">
      <w:pgSz w:w="11906" w:h="16838"/>
      <w:pgMar w:top="0" w:right="1440" w:bottom="1129" w:left="158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D7F20" w14:textId="77777777" w:rsidR="00350FA9" w:rsidRDefault="00350FA9" w:rsidP="0039243C">
      <w:r>
        <w:separator/>
      </w:r>
    </w:p>
  </w:endnote>
  <w:endnote w:type="continuationSeparator" w:id="0">
    <w:p w14:paraId="65B30A81" w14:textId="77777777" w:rsidR="00350FA9" w:rsidRDefault="00350FA9" w:rsidP="00392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793F8" w14:textId="77777777" w:rsidR="00350FA9" w:rsidRDefault="00350FA9" w:rsidP="0039243C">
      <w:r>
        <w:separator/>
      </w:r>
    </w:p>
  </w:footnote>
  <w:footnote w:type="continuationSeparator" w:id="0">
    <w:p w14:paraId="112CF08B" w14:textId="77777777" w:rsidR="00350FA9" w:rsidRDefault="00350FA9" w:rsidP="00392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D6237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AE236B"/>
    <w:multiLevelType w:val="hybridMultilevel"/>
    <w:tmpl w:val="CD8CF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38775C"/>
    <w:multiLevelType w:val="hybridMultilevel"/>
    <w:tmpl w:val="B6E26D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B33CA1"/>
    <w:multiLevelType w:val="hybridMultilevel"/>
    <w:tmpl w:val="F1CA8894"/>
    <w:lvl w:ilvl="0" w:tplc="0C090001">
      <w:start w:val="1"/>
      <w:numFmt w:val="bullet"/>
      <w:lvlText w:val=""/>
      <w:lvlJc w:val="left"/>
      <w:pPr>
        <w:ind w:left="1227" w:hanging="360"/>
      </w:pPr>
      <w:rPr>
        <w:rFonts w:ascii="Symbol" w:hAnsi="Symbol" w:hint="default"/>
      </w:rPr>
    </w:lvl>
    <w:lvl w:ilvl="1" w:tplc="0C090003" w:tentative="1">
      <w:start w:val="1"/>
      <w:numFmt w:val="bullet"/>
      <w:lvlText w:val="o"/>
      <w:lvlJc w:val="left"/>
      <w:pPr>
        <w:ind w:left="1947" w:hanging="360"/>
      </w:pPr>
      <w:rPr>
        <w:rFonts w:ascii="Courier New" w:hAnsi="Courier New" w:cs="Courier New" w:hint="default"/>
      </w:rPr>
    </w:lvl>
    <w:lvl w:ilvl="2" w:tplc="0C090005" w:tentative="1">
      <w:start w:val="1"/>
      <w:numFmt w:val="bullet"/>
      <w:lvlText w:val=""/>
      <w:lvlJc w:val="left"/>
      <w:pPr>
        <w:ind w:left="2667" w:hanging="360"/>
      </w:pPr>
      <w:rPr>
        <w:rFonts w:ascii="Wingdings" w:hAnsi="Wingdings" w:hint="default"/>
      </w:rPr>
    </w:lvl>
    <w:lvl w:ilvl="3" w:tplc="0C090001" w:tentative="1">
      <w:start w:val="1"/>
      <w:numFmt w:val="bullet"/>
      <w:lvlText w:val=""/>
      <w:lvlJc w:val="left"/>
      <w:pPr>
        <w:ind w:left="3387" w:hanging="360"/>
      </w:pPr>
      <w:rPr>
        <w:rFonts w:ascii="Symbol" w:hAnsi="Symbol" w:hint="default"/>
      </w:rPr>
    </w:lvl>
    <w:lvl w:ilvl="4" w:tplc="0C090003" w:tentative="1">
      <w:start w:val="1"/>
      <w:numFmt w:val="bullet"/>
      <w:lvlText w:val="o"/>
      <w:lvlJc w:val="left"/>
      <w:pPr>
        <w:ind w:left="4107" w:hanging="360"/>
      </w:pPr>
      <w:rPr>
        <w:rFonts w:ascii="Courier New" w:hAnsi="Courier New" w:cs="Courier New" w:hint="default"/>
      </w:rPr>
    </w:lvl>
    <w:lvl w:ilvl="5" w:tplc="0C090005" w:tentative="1">
      <w:start w:val="1"/>
      <w:numFmt w:val="bullet"/>
      <w:lvlText w:val=""/>
      <w:lvlJc w:val="left"/>
      <w:pPr>
        <w:ind w:left="4827" w:hanging="360"/>
      </w:pPr>
      <w:rPr>
        <w:rFonts w:ascii="Wingdings" w:hAnsi="Wingdings" w:hint="default"/>
      </w:rPr>
    </w:lvl>
    <w:lvl w:ilvl="6" w:tplc="0C090001" w:tentative="1">
      <w:start w:val="1"/>
      <w:numFmt w:val="bullet"/>
      <w:lvlText w:val=""/>
      <w:lvlJc w:val="left"/>
      <w:pPr>
        <w:ind w:left="5547" w:hanging="360"/>
      </w:pPr>
      <w:rPr>
        <w:rFonts w:ascii="Symbol" w:hAnsi="Symbol" w:hint="default"/>
      </w:rPr>
    </w:lvl>
    <w:lvl w:ilvl="7" w:tplc="0C090003" w:tentative="1">
      <w:start w:val="1"/>
      <w:numFmt w:val="bullet"/>
      <w:lvlText w:val="o"/>
      <w:lvlJc w:val="left"/>
      <w:pPr>
        <w:ind w:left="6267" w:hanging="360"/>
      </w:pPr>
      <w:rPr>
        <w:rFonts w:ascii="Courier New" w:hAnsi="Courier New" w:cs="Courier New" w:hint="default"/>
      </w:rPr>
    </w:lvl>
    <w:lvl w:ilvl="8" w:tplc="0C090005" w:tentative="1">
      <w:start w:val="1"/>
      <w:numFmt w:val="bullet"/>
      <w:lvlText w:val=""/>
      <w:lvlJc w:val="left"/>
      <w:pPr>
        <w:ind w:left="6987" w:hanging="360"/>
      </w:pPr>
      <w:rPr>
        <w:rFonts w:ascii="Wingdings" w:hAnsi="Wingdings" w:hint="default"/>
      </w:rPr>
    </w:lvl>
  </w:abstractNum>
  <w:abstractNum w:abstractNumId="4" w15:restartNumberingAfterBreak="0">
    <w:nsid w:val="12FF750C"/>
    <w:multiLevelType w:val="hybridMultilevel"/>
    <w:tmpl w:val="5F104EF8"/>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5" w15:restartNumberingAfterBreak="0">
    <w:nsid w:val="17C878B5"/>
    <w:multiLevelType w:val="hybridMultilevel"/>
    <w:tmpl w:val="26BA1652"/>
    <w:lvl w:ilvl="0" w:tplc="0C090001">
      <w:start w:val="1"/>
      <w:numFmt w:val="bullet"/>
      <w:lvlText w:val=""/>
      <w:lvlJc w:val="left"/>
      <w:pPr>
        <w:ind w:left="1227" w:hanging="360"/>
      </w:pPr>
      <w:rPr>
        <w:rFonts w:ascii="Symbol" w:hAnsi="Symbol" w:hint="default"/>
      </w:rPr>
    </w:lvl>
    <w:lvl w:ilvl="1" w:tplc="0C090003" w:tentative="1">
      <w:start w:val="1"/>
      <w:numFmt w:val="bullet"/>
      <w:lvlText w:val="o"/>
      <w:lvlJc w:val="left"/>
      <w:pPr>
        <w:ind w:left="1947" w:hanging="360"/>
      </w:pPr>
      <w:rPr>
        <w:rFonts w:ascii="Courier New" w:hAnsi="Courier New" w:cs="Courier New" w:hint="default"/>
      </w:rPr>
    </w:lvl>
    <w:lvl w:ilvl="2" w:tplc="0C090005" w:tentative="1">
      <w:start w:val="1"/>
      <w:numFmt w:val="bullet"/>
      <w:lvlText w:val=""/>
      <w:lvlJc w:val="left"/>
      <w:pPr>
        <w:ind w:left="2667" w:hanging="360"/>
      </w:pPr>
      <w:rPr>
        <w:rFonts w:ascii="Wingdings" w:hAnsi="Wingdings" w:hint="default"/>
      </w:rPr>
    </w:lvl>
    <w:lvl w:ilvl="3" w:tplc="0C090001" w:tentative="1">
      <w:start w:val="1"/>
      <w:numFmt w:val="bullet"/>
      <w:lvlText w:val=""/>
      <w:lvlJc w:val="left"/>
      <w:pPr>
        <w:ind w:left="3387" w:hanging="360"/>
      </w:pPr>
      <w:rPr>
        <w:rFonts w:ascii="Symbol" w:hAnsi="Symbol" w:hint="default"/>
      </w:rPr>
    </w:lvl>
    <w:lvl w:ilvl="4" w:tplc="0C090003" w:tentative="1">
      <w:start w:val="1"/>
      <w:numFmt w:val="bullet"/>
      <w:lvlText w:val="o"/>
      <w:lvlJc w:val="left"/>
      <w:pPr>
        <w:ind w:left="4107" w:hanging="360"/>
      </w:pPr>
      <w:rPr>
        <w:rFonts w:ascii="Courier New" w:hAnsi="Courier New" w:cs="Courier New" w:hint="default"/>
      </w:rPr>
    </w:lvl>
    <w:lvl w:ilvl="5" w:tplc="0C090005" w:tentative="1">
      <w:start w:val="1"/>
      <w:numFmt w:val="bullet"/>
      <w:lvlText w:val=""/>
      <w:lvlJc w:val="left"/>
      <w:pPr>
        <w:ind w:left="4827" w:hanging="360"/>
      </w:pPr>
      <w:rPr>
        <w:rFonts w:ascii="Wingdings" w:hAnsi="Wingdings" w:hint="default"/>
      </w:rPr>
    </w:lvl>
    <w:lvl w:ilvl="6" w:tplc="0C090001" w:tentative="1">
      <w:start w:val="1"/>
      <w:numFmt w:val="bullet"/>
      <w:lvlText w:val=""/>
      <w:lvlJc w:val="left"/>
      <w:pPr>
        <w:ind w:left="5547" w:hanging="360"/>
      </w:pPr>
      <w:rPr>
        <w:rFonts w:ascii="Symbol" w:hAnsi="Symbol" w:hint="default"/>
      </w:rPr>
    </w:lvl>
    <w:lvl w:ilvl="7" w:tplc="0C090003" w:tentative="1">
      <w:start w:val="1"/>
      <w:numFmt w:val="bullet"/>
      <w:lvlText w:val="o"/>
      <w:lvlJc w:val="left"/>
      <w:pPr>
        <w:ind w:left="6267" w:hanging="360"/>
      </w:pPr>
      <w:rPr>
        <w:rFonts w:ascii="Courier New" w:hAnsi="Courier New" w:cs="Courier New" w:hint="default"/>
      </w:rPr>
    </w:lvl>
    <w:lvl w:ilvl="8" w:tplc="0C090005" w:tentative="1">
      <w:start w:val="1"/>
      <w:numFmt w:val="bullet"/>
      <w:lvlText w:val=""/>
      <w:lvlJc w:val="left"/>
      <w:pPr>
        <w:ind w:left="6987" w:hanging="360"/>
      </w:pPr>
      <w:rPr>
        <w:rFonts w:ascii="Wingdings" w:hAnsi="Wingdings" w:hint="default"/>
      </w:rPr>
    </w:lvl>
  </w:abstractNum>
  <w:abstractNum w:abstractNumId="6" w15:restartNumberingAfterBreak="0">
    <w:nsid w:val="1B9A117F"/>
    <w:multiLevelType w:val="hybridMultilevel"/>
    <w:tmpl w:val="E52454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D450BC5"/>
    <w:multiLevelType w:val="hybridMultilevel"/>
    <w:tmpl w:val="F4225A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427A36"/>
    <w:multiLevelType w:val="hybridMultilevel"/>
    <w:tmpl w:val="6E808212"/>
    <w:lvl w:ilvl="0" w:tplc="0C090001">
      <w:start w:val="1"/>
      <w:numFmt w:val="bullet"/>
      <w:lvlText w:val=""/>
      <w:lvlJc w:val="left"/>
      <w:pPr>
        <w:ind w:left="1227" w:hanging="360"/>
      </w:pPr>
      <w:rPr>
        <w:rFonts w:ascii="Symbol" w:hAnsi="Symbol" w:hint="default"/>
      </w:rPr>
    </w:lvl>
    <w:lvl w:ilvl="1" w:tplc="0C090003" w:tentative="1">
      <w:start w:val="1"/>
      <w:numFmt w:val="bullet"/>
      <w:lvlText w:val="o"/>
      <w:lvlJc w:val="left"/>
      <w:pPr>
        <w:ind w:left="1947" w:hanging="360"/>
      </w:pPr>
      <w:rPr>
        <w:rFonts w:ascii="Courier New" w:hAnsi="Courier New" w:cs="Courier New" w:hint="default"/>
      </w:rPr>
    </w:lvl>
    <w:lvl w:ilvl="2" w:tplc="0C090005" w:tentative="1">
      <w:start w:val="1"/>
      <w:numFmt w:val="bullet"/>
      <w:lvlText w:val=""/>
      <w:lvlJc w:val="left"/>
      <w:pPr>
        <w:ind w:left="2667" w:hanging="360"/>
      </w:pPr>
      <w:rPr>
        <w:rFonts w:ascii="Wingdings" w:hAnsi="Wingdings" w:hint="default"/>
      </w:rPr>
    </w:lvl>
    <w:lvl w:ilvl="3" w:tplc="0C090001" w:tentative="1">
      <w:start w:val="1"/>
      <w:numFmt w:val="bullet"/>
      <w:lvlText w:val=""/>
      <w:lvlJc w:val="left"/>
      <w:pPr>
        <w:ind w:left="3387" w:hanging="360"/>
      </w:pPr>
      <w:rPr>
        <w:rFonts w:ascii="Symbol" w:hAnsi="Symbol" w:hint="default"/>
      </w:rPr>
    </w:lvl>
    <w:lvl w:ilvl="4" w:tplc="0C090003" w:tentative="1">
      <w:start w:val="1"/>
      <w:numFmt w:val="bullet"/>
      <w:lvlText w:val="o"/>
      <w:lvlJc w:val="left"/>
      <w:pPr>
        <w:ind w:left="4107" w:hanging="360"/>
      </w:pPr>
      <w:rPr>
        <w:rFonts w:ascii="Courier New" w:hAnsi="Courier New" w:cs="Courier New" w:hint="default"/>
      </w:rPr>
    </w:lvl>
    <w:lvl w:ilvl="5" w:tplc="0C090005" w:tentative="1">
      <w:start w:val="1"/>
      <w:numFmt w:val="bullet"/>
      <w:lvlText w:val=""/>
      <w:lvlJc w:val="left"/>
      <w:pPr>
        <w:ind w:left="4827" w:hanging="360"/>
      </w:pPr>
      <w:rPr>
        <w:rFonts w:ascii="Wingdings" w:hAnsi="Wingdings" w:hint="default"/>
      </w:rPr>
    </w:lvl>
    <w:lvl w:ilvl="6" w:tplc="0C090001" w:tentative="1">
      <w:start w:val="1"/>
      <w:numFmt w:val="bullet"/>
      <w:lvlText w:val=""/>
      <w:lvlJc w:val="left"/>
      <w:pPr>
        <w:ind w:left="5547" w:hanging="360"/>
      </w:pPr>
      <w:rPr>
        <w:rFonts w:ascii="Symbol" w:hAnsi="Symbol" w:hint="default"/>
      </w:rPr>
    </w:lvl>
    <w:lvl w:ilvl="7" w:tplc="0C090003" w:tentative="1">
      <w:start w:val="1"/>
      <w:numFmt w:val="bullet"/>
      <w:lvlText w:val="o"/>
      <w:lvlJc w:val="left"/>
      <w:pPr>
        <w:ind w:left="6267" w:hanging="360"/>
      </w:pPr>
      <w:rPr>
        <w:rFonts w:ascii="Courier New" w:hAnsi="Courier New" w:cs="Courier New" w:hint="default"/>
      </w:rPr>
    </w:lvl>
    <w:lvl w:ilvl="8" w:tplc="0C090005" w:tentative="1">
      <w:start w:val="1"/>
      <w:numFmt w:val="bullet"/>
      <w:lvlText w:val=""/>
      <w:lvlJc w:val="left"/>
      <w:pPr>
        <w:ind w:left="6987" w:hanging="360"/>
      </w:pPr>
      <w:rPr>
        <w:rFonts w:ascii="Wingdings" w:hAnsi="Wingdings" w:hint="default"/>
      </w:rPr>
    </w:lvl>
  </w:abstractNum>
  <w:abstractNum w:abstractNumId="9" w15:restartNumberingAfterBreak="0">
    <w:nsid w:val="215B454F"/>
    <w:multiLevelType w:val="hybridMultilevel"/>
    <w:tmpl w:val="F4CE11CA"/>
    <w:lvl w:ilvl="0" w:tplc="FFFFFFFF">
      <w:start w:val="1"/>
      <w:numFmt w:val="bullet"/>
      <w:lvlText w:val=""/>
      <w:lvlJc w:val="left"/>
      <w:pPr>
        <w:tabs>
          <w:tab w:val="num" w:pos="714"/>
        </w:tabs>
        <w:ind w:left="714" w:hanging="357"/>
      </w:pPr>
      <w:rPr>
        <w:rFonts w:ascii="Symbol" w:hAnsi="Symbol" w:hint="default"/>
      </w:rPr>
    </w:lvl>
    <w:lvl w:ilvl="1" w:tplc="FFFFFFFF" w:tentative="1">
      <w:start w:val="1"/>
      <w:numFmt w:val="bullet"/>
      <w:lvlText w:val="o"/>
      <w:lvlJc w:val="left"/>
      <w:pPr>
        <w:tabs>
          <w:tab w:val="num" w:pos="717"/>
        </w:tabs>
        <w:ind w:left="717" w:hanging="360"/>
      </w:pPr>
      <w:rPr>
        <w:rFonts w:ascii="Courier New" w:hAnsi="Courier New" w:cs="MS Mincho" w:hint="default"/>
      </w:rPr>
    </w:lvl>
    <w:lvl w:ilvl="2" w:tplc="FFFFFFFF" w:tentative="1">
      <w:start w:val="1"/>
      <w:numFmt w:val="bullet"/>
      <w:lvlText w:val=""/>
      <w:lvlJc w:val="left"/>
      <w:pPr>
        <w:tabs>
          <w:tab w:val="num" w:pos="1437"/>
        </w:tabs>
        <w:ind w:left="1437" w:hanging="360"/>
      </w:pPr>
      <w:rPr>
        <w:rFonts w:ascii="Wingdings" w:hAnsi="Wingdings" w:hint="default"/>
      </w:rPr>
    </w:lvl>
    <w:lvl w:ilvl="3" w:tplc="FFFFFFFF" w:tentative="1">
      <w:start w:val="1"/>
      <w:numFmt w:val="bullet"/>
      <w:lvlText w:val=""/>
      <w:lvlJc w:val="left"/>
      <w:pPr>
        <w:tabs>
          <w:tab w:val="num" w:pos="2157"/>
        </w:tabs>
        <w:ind w:left="2157" w:hanging="360"/>
      </w:pPr>
      <w:rPr>
        <w:rFonts w:ascii="Symbol" w:hAnsi="Symbol" w:hint="default"/>
      </w:rPr>
    </w:lvl>
    <w:lvl w:ilvl="4" w:tplc="FFFFFFFF" w:tentative="1">
      <w:start w:val="1"/>
      <w:numFmt w:val="bullet"/>
      <w:lvlText w:val="o"/>
      <w:lvlJc w:val="left"/>
      <w:pPr>
        <w:tabs>
          <w:tab w:val="num" w:pos="2877"/>
        </w:tabs>
        <w:ind w:left="2877" w:hanging="360"/>
      </w:pPr>
      <w:rPr>
        <w:rFonts w:ascii="Courier New" w:hAnsi="Courier New" w:cs="MS Mincho" w:hint="default"/>
      </w:rPr>
    </w:lvl>
    <w:lvl w:ilvl="5" w:tplc="FFFFFFFF" w:tentative="1">
      <w:start w:val="1"/>
      <w:numFmt w:val="bullet"/>
      <w:lvlText w:val=""/>
      <w:lvlJc w:val="left"/>
      <w:pPr>
        <w:tabs>
          <w:tab w:val="num" w:pos="3597"/>
        </w:tabs>
        <w:ind w:left="3597" w:hanging="360"/>
      </w:pPr>
      <w:rPr>
        <w:rFonts w:ascii="Wingdings" w:hAnsi="Wingdings" w:hint="default"/>
      </w:rPr>
    </w:lvl>
    <w:lvl w:ilvl="6" w:tplc="FFFFFFFF" w:tentative="1">
      <w:start w:val="1"/>
      <w:numFmt w:val="bullet"/>
      <w:lvlText w:val=""/>
      <w:lvlJc w:val="left"/>
      <w:pPr>
        <w:tabs>
          <w:tab w:val="num" w:pos="4317"/>
        </w:tabs>
        <w:ind w:left="4317" w:hanging="360"/>
      </w:pPr>
      <w:rPr>
        <w:rFonts w:ascii="Symbol" w:hAnsi="Symbol" w:hint="default"/>
      </w:rPr>
    </w:lvl>
    <w:lvl w:ilvl="7" w:tplc="FFFFFFFF" w:tentative="1">
      <w:start w:val="1"/>
      <w:numFmt w:val="bullet"/>
      <w:lvlText w:val="o"/>
      <w:lvlJc w:val="left"/>
      <w:pPr>
        <w:tabs>
          <w:tab w:val="num" w:pos="5037"/>
        </w:tabs>
        <w:ind w:left="5037" w:hanging="360"/>
      </w:pPr>
      <w:rPr>
        <w:rFonts w:ascii="Courier New" w:hAnsi="Courier New" w:cs="MS Mincho" w:hint="default"/>
      </w:rPr>
    </w:lvl>
    <w:lvl w:ilvl="8" w:tplc="FFFFFFFF" w:tentative="1">
      <w:start w:val="1"/>
      <w:numFmt w:val="bullet"/>
      <w:lvlText w:val=""/>
      <w:lvlJc w:val="left"/>
      <w:pPr>
        <w:tabs>
          <w:tab w:val="num" w:pos="5757"/>
        </w:tabs>
        <w:ind w:left="5757" w:hanging="360"/>
      </w:pPr>
      <w:rPr>
        <w:rFonts w:ascii="Wingdings" w:hAnsi="Wingdings" w:hint="default"/>
      </w:rPr>
    </w:lvl>
  </w:abstractNum>
  <w:abstractNum w:abstractNumId="10" w15:restartNumberingAfterBreak="0">
    <w:nsid w:val="22072075"/>
    <w:multiLevelType w:val="hybridMultilevel"/>
    <w:tmpl w:val="C506F0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D456A33"/>
    <w:multiLevelType w:val="hybridMultilevel"/>
    <w:tmpl w:val="020C0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464BD2"/>
    <w:multiLevelType w:val="hybridMultilevel"/>
    <w:tmpl w:val="E0B03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1C3789"/>
    <w:multiLevelType w:val="hybridMultilevel"/>
    <w:tmpl w:val="709EEE30"/>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14" w15:restartNumberingAfterBreak="0">
    <w:nsid w:val="4BEF5C2B"/>
    <w:multiLevelType w:val="hybridMultilevel"/>
    <w:tmpl w:val="6CDA43B8"/>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18649D8"/>
    <w:multiLevelType w:val="hybridMultilevel"/>
    <w:tmpl w:val="448AED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F050481"/>
    <w:multiLevelType w:val="hybridMultilevel"/>
    <w:tmpl w:val="18864F9A"/>
    <w:lvl w:ilvl="0" w:tplc="FFFFFFFF">
      <w:start w:val="1"/>
      <w:numFmt w:val="bullet"/>
      <w:lvlText w:val=""/>
      <w:lvlJc w:val="left"/>
      <w:pPr>
        <w:tabs>
          <w:tab w:val="num" w:pos="714"/>
        </w:tabs>
        <w:ind w:left="714" w:hanging="357"/>
      </w:pPr>
      <w:rPr>
        <w:rFonts w:ascii="Symbol" w:hAnsi="Symbol" w:hint="default"/>
      </w:rPr>
    </w:lvl>
    <w:lvl w:ilvl="1" w:tplc="FFFFFFFF" w:tentative="1">
      <w:start w:val="1"/>
      <w:numFmt w:val="bullet"/>
      <w:lvlText w:val="o"/>
      <w:lvlJc w:val="left"/>
      <w:pPr>
        <w:tabs>
          <w:tab w:val="num" w:pos="1797"/>
        </w:tabs>
        <w:ind w:left="1797" w:hanging="360"/>
      </w:pPr>
      <w:rPr>
        <w:rFonts w:ascii="Courier New" w:hAnsi="Courier New" w:cs="MS Mincho"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MS Mincho"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MS Mincho"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17" w15:restartNumberingAfterBreak="0">
    <w:nsid w:val="5FD95A19"/>
    <w:multiLevelType w:val="hybridMultilevel"/>
    <w:tmpl w:val="77569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64225F"/>
    <w:multiLevelType w:val="hybridMultilevel"/>
    <w:tmpl w:val="BA607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955179"/>
    <w:multiLevelType w:val="hybridMultilevel"/>
    <w:tmpl w:val="C82CE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5273A78"/>
    <w:multiLevelType w:val="hybridMultilevel"/>
    <w:tmpl w:val="AA809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7623CC3"/>
    <w:multiLevelType w:val="hybridMultilevel"/>
    <w:tmpl w:val="84C88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665ABB"/>
    <w:multiLevelType w:val="hybridMultilevel"/>
    <w:tmpl w:val="16225EDA"/>
    <w:lvl w:ilvl="0" w:tplc="FFFFFFFF">
      <w:start w:val="1"/>
      <w:numFmt w:val="bullet"/>
      <w:lvlText w:val=""/>
      <w:lvlJc w:val="left"/>
      <w:pPr>
        <w:tabs>
          <w:tab w:val="num" w:pos="714"/>
        </w:tabs>
        <w:ind w:left="714" w:hanging="35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6"/>
  </w:num>
  <w:num w:numId="4">
    <w:abstractNumId w:val="16"/>
  </w:num>
  <w:num w:numId="5">
    <w:abstractNumId w:val="9"/>
  </w:num>
  <w:num w:numId="6">
    <w:abstractNumId w:val="20"/>
  </w:num>
  <w:num w:numId="7">
    <w:abstractNumId w:val="2"/>
  </w:num>
  <w:num w:numId="8">
    <w:abstractNumId w:val="22"/>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1"/>
  </w:num>
  <w:num w:numId="12">
    <w:abstractNumId w:val="0"/>
  </w:num>
  <w:num w:numId="13">
    <w:abstractNumId w:val="4"/>
  </w:num>
  <w:num w:numId="14">
    <w:abstractNumId w:val="13"/>
  </w:num>
  <w:num w:numId="15">
    <w:abstractNumId w:val="10"/>
  </w:num>
  <w:num w:numId="16">
    <w:abstractNumId w:val="1"/>
  </w:num>
  <w:num w:numId="17">
    <w:abstractNumId w:val="15"/>
  </w:num>
  <w:num w:numId="18">
    <w:abstractNumId w:val="7"/>
  </w:num>
  <w:num w:numId="19">
    <w:abstractNumId w:val="8"/>
  </w:num>
  <w:num w:numId="20">
    <w:abstractNumId w:val="5"/>
  </w:num>
  <w:num w:numId="21">
    <w:abstractNumId w:val="12"/>
  </w:num>
  <w:num w:numId="22">
    <w:abstractNumId w:val="3"/>
  </w:num>
  <w:num w:numId="23">
    <w:abstractNumId w:val="19"/>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234"/>
    <w:rsid w:val="00022352"/>
    <w:rsid w:val="00033E9F"/>
    <w:rsid w:val="00065DF4"/>
    <w:rsid w:val="00065FE7"/>
    <w:rsid w:val="00137E07"/>
    <w:rsid w:val="00143F06"/>
    <w:rsid w:val="0015432B"/>
    <w:rsid w:val="001865AC"/>
    <w:rsid w:val="00197F2C"/>
    <w:rsid w:val="001A5F0B"/>
    <w:rsid w:val="001E0009"/>
    <w:rsid w:val="00201153"/>
    <w:rsid w:val="002327B7"/>
    <w:rsid w:val="00244779"/>
    <w:rsid w:val="0029413F"/>
    <w:rsid w:val="002A30F6"/>
    <w:rsid w:val="002E0EF1"/>
    <w:rsid w:val="002E1176"/>
    <w:rsid w:val="00315884"/>
    <w:rsid w:val="003404D2"/>
    <w:rsid w:val="00350FA9"/>
    <w:rsid w:val="0038559E"/>
    <w:rsid w:val="0039243C"/>
    <w:rsid w:val="00395407"/>
    <w:rsid w:val="003A09FD"/>
    <w:rsid w:val="003D3C62"/>
    <w:rsid w:val="004261ED"/>
    <w:rsid w:val="00430252"/>
    <w:rsid w:val="00453FE2"/>
    <w:rsid w:val="004B19A9"/>
    <w:rsid w:val="004E40A5"/>
    <w:rsid w:val="0051274C"/>
    <w:rsid w:val="005242F0"/>
    <w:rsid w:val="00526671"/>
    <w:rsid w:val="0054082B"/>
    <w:rsid w:val="005413D3"/>
    <w:rsid w:val="005513F8"/>
    <w:rsid w:val="005608A0"/>
    <w:rsid w:val="00646231"/>
    <w:rsid w:val="00656D04"/>
    <w:rsid w:val="00662DB6"/>
    <w:rsid w:val="006A0AF7"/>
    <w:rsid w:val="006D2FFC"/>
    <w:rsid w:val="006D7D6C"/>
    <w:rsid w:val="006E1CAF"/>
    <w:rsid w:val="007971AA"/>
    <w:rsid w:val="007C11BD"/>
    <w:rsid w:val="007D52DD"/>
    <w:rsid w:val="008926D4"/>
    <w:rsid w:val="00897632"/>
    <w:rsid w:val="00943A44"/>
    <w:rsid w:val="00961CAA"/>
    <w:rsid w:val="009646F4"/>
    <w:rsid w:val="009826F5"/>
    <w:rsid w:val="00987C7F"/>
    <w:rsid w:val="009925D8"/>
    <w:rsid w:val="009A0116"/>
    <w:rsid w:val="009A3EAF"/>
    <w:rsid w:val="009B3663"/>
    <w:rsid w:val="009C5E50"/>
    <w:rsid w:val="009D4315"/>
    <w:rsid w:val="00A060F5"/>
    <w:rsid w:val="00A06234"/>
    <w:rsid w:val="00A36D37"/>
    <w:rsid w:val="00A87688"/>
    <w:rsid w:val="00A93B43"/>
    <w:rsid w:val="00A93FEC"/>
    <w:rsid w:val="00AA38B9"/>
    <w:rsid w:val="00AF1399"/>
    <w:rsid w:val="00B66F6D"/>
    <w:rsid w:val="00B747BA"/>
    <w:rsid w:val="00B91026"/>
    <w:rsid w:val="00B956BE"/>
    <w:rsid w:val="00B97531"/>
    <w:rsid w:val="00BB57DC"/>
    <w:rsid w:val="00BD0903"/>
    <w:rsid w:val="00C31EB3"/>
    <w:rsid w:val="00C46927"/>
    <w:rsid w:val="00C61E83"/>
    <w:rsid w:val="00C71569"/>
    <w:rsid w:val="00C755E5"/>
    <w:rsid w:val="00CA35D7"/>
    <w:rsid w:val="00CC7D4D"/>
    <w:rsid w:val="00CE1757"/>
    <w:rsid w:val="00D00DAA"/>
    <w:rsid w:val="00D110B1"/>
    <w:rsid w:val="00DA58B9"/>
    <w:rsid w:val="00DC7982"/>
    <w:rsid w:val="00DE2ED7"/>
    <w:rsid w:val="00DE770B"/>
    <w:rsid w:val="00DF3E68"/>
    <w:rsid w:val="00E04017"/>
    <w:rsid w:val="00E348E8"/>
    <w:rsid w:val="00E34F44"/>
    <w:rsid w:val="00E55F1C"/>
    <w:rsid w:val="00E77422"/>
    <w:rsid w:val="00E8550F"/>
    <w:rsid w:val="00F84B8D"/>
    <w:rsid w:val="00FA3293"/>
    <w:rsid w:val="00FC4A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9D10D"/>
  <w15:docId w15:val="{BA2BE0C0-770E-4C64-BB42-AA77AABC9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9243C"/>
    <w:pPr>
      <w:spacing w:line="360" w:lineRule="auto"/>
    </w:pPr>
    <w:rPr>
      <w:rFonts w:asciiTheme="majorHAnsi" w:hAnsiTheme="majorHAnsi" w:cs="Arial"/>
    </w:rPr>
  </w:style>
  <w:style w:type="paragraph" w:styleId="Heading1">
    <w:name w:val="heading 1"/>
    <w:basedOn w:val="Normal"/>
    <w:next w:val="Normal"/>
    <w:link w:val="Heading1Char"/>
    <w:uiPriority w:val="9"/>
    <w:qFormat/>
    <w:rsid w:val="003A09FD"/>
    <w:pPr>
      <w:keepNext/>
      <w:keepLines/>
      <w:spacing w:before="480" w:after="0"/>
      <w:outlineLvl w:val="0"/>
    </w:pPr>
    <w:rPr>
      <w:rFonts w:eastAsiaTheme="majorEastAsia" w:cstheme="majorBidi"/>
      <w:bCs/>
      <w:color w:val="4A7090" w:themeColor="background2" w:themeShade="80"/>
      <w:spacing w:val="-8"/>
      <w:sz w:val="56"/>
      <w:szCs w:val="56"/>
    </w:rPr>
  </w:style>
  <w:style w:type="paragraph" w:styleId="Heading2">
    <w:name w:val="heading 2"/>
    <w:basedOn w:val="Normal"/>
    <w:next w:val="Normal"/>
    <w:link w:val="Heading2Char"/>
    <w:uiPriority w:val="9"/>
    <w:unhideWhenUsed/>
    <w:qFormat/>
    <w:rsid w:val="00244779"/>
    <w:pPr>
      <w:keepNext/>
      <w:keepLines/>
      <w:spacing w:before="200" w:after="0" w:line="240" w:lineRule="auto"/>
      <w:outlineLvl w:val="1"/>
    </w:pPr>
    <w:rPr>
      <w:rFonts w:eastAsiaTheme="majorEastAsia" w:cstheme="majorBidi"/>
      <w:bCs/>
      <w:color w:val="FFFFFF" w:themeColor="background1"/>
      <w:sz w:val="44"/>
      <w:szCs w:val="44"/>
    </w:rPr>
  </w:style>
  <w:style w:type="paragraph" w:styleId="Heading3">
    <w:name w:val="heading 3"/>
    <w:basedOn w:val="Subtitle"/>
    <w:next w:val="Normal"/>
    <w:link w:val="Heading3Char"/>
    <w:uiPriority w:val="9"/>
    <w:unhideWhenUsed/>
    <w:qFormat/>
    <w:rsid w:val="00961CAA"/>
    <w:pPr>
      <w:outlineLvl w:val="2"/>
    </w:pPr>
    <w:rPr>
      <w:b/>
      <w:i w:val="0"/>
      <w:color w:val="000000" w:themeColor="text1"/>
      <w:spacing w:val="0"/>
      <w:sz w:val="28"/>
      <w:szCs w:val="28"/>
    </w:rPr>
  </w:style>
  <w:style w:type="paragraph" w:styleId="Heading4">
    <w:name w:val="heading 4"/>
    <w:basedOn w:val="Normal"/>
    <w:next w:val="Normal"/>
    <w:link w:val="Heading4Char"/>
    <w:uiPriority w:val="9"/>
    <w:unhideWhenUsed/>
    <w:qFormat/>
    <w:rsid w:val="00244779"/>
    <w:pPr>
      <w:keepNext/>
      <w:keepLines/>
      <w:spacing w:before="200" w:after="0"/>
      <w:outlineLvl w:val="3"/>
    </w:pPr>
    <w:rPr>
      <w:rFonts w:eastAsiaTheme="majorEastAsia" w:cstheme="majorBidi"/>
      <w:bCs/>
      <w:iCs/>
      <w:color w:val="3494BA" w:themeColor="accent1"/>
      <w:sz w:val="28"/>
      <w:szCs w:val="28"/>
    </w:rPr>
  </w:style>
  <w:style w:type="paragraph" w:styleId="Heading5">
    <w:name w:val="heading 5"/>
    <w:basedOn w:val="Normal"/>
    <w:next w:val="Normal"/>
    <w:link w:val="Heading5Char"/>
    <w:uiPriority w:val="9"/>
    <w:semiHidden/>
    <w:unhideWhenUsed/>
    <w:qFormat/>
    <w:rsid w:val="00C46927"/>
    <w:pPr>
      <w:keepNext/>
      <w:keepLines/>
      <w:spacing w:before="200" w:after="0"/>
      <w:outlineLvl w:val="4"/>
    </w:pPr>
    <w:rPr>
      <w:rFonts w:eastAsiaTheme="majorEastAsia" w:cstheme="majorBidi"/>
      <w:color w:val="1A495C" w:themeColor="accent1" w:themeShade="7F"/>
    </w:rPr>
  </w:style>
  <w:style w:type="paragraph" w:styleId="Heading6">
    <w:name w:val="heading 6"/>
    <w:basedOn w:val="Normal"/>
    <w:next w:val="Normal"/>
    <w:link w:val="Heading6Char"/>
    <w:uiPriority w:val="9"/>
    <w:semiHidden/>
    <w:unhideWhenUsed/>
    <w:qFormat/>
    <w:rsid w:val="00C46927"/>
    <w:pPr>
      <w:keepNext/>
      <w:keepLines/>
      <w:spacing w:before="200" w:after="0"/>
      <w:outlineLvl w:val="5"/>
    </w:pPr>
    <w:rPr>
      <w:rFonts w:eastAsiaTheme="majorEastAsia" w:cstheme="majorBidi"/>
      <w:i/>
      <w:iCs/>
      <w:color w:val="1A495C" w:themeColor="accent1" w:themeShade="7F"/>
    </w:rPr>
  </w:style>
  <w:style w:type="paragraph" w:styleId="Heading7">
    <w:name w:val="heading 7"/>
    <w:basedOn w:val="Normal"/>
    <w:next w:val="Normal"/>
    <w:link w:val="Heading7Char"/>
    <w:uiPriority w:val="9"/>
    <w:semiHidden/>
    <w:unhideWhenUsed/>
    <w:qFormat/>
    <w:rsid w:val="00C46927"/>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C46927"/>
    <w:pPr>
      <w:keepNext/>
      <w:keepLines/>
      <w:spacing w:before="200" w:after="0"/>
      <w:outlineLvl w:val="7"/>
    </w:pPr>
    <w:rPr>
      <w:rFonts w:eastAsiaTheme="majorEastAsia" w:cstheme="majorBidi"/>
      <w:color w:val="3494BA" w:themeColor="accent1"/>
      <w:sz w:val="20"/>
      <w:szCs w:val="20"/>
    </w:rPr>
  </w:style>
  <w:style w:type="paragraph" w:styleId="Heading9">
    <w:name w:val="heading 9"/>
    <w:basedOn w:val="Normal"/>
    <w:next w:val="Normal"/>
    <w:link w:val="Heading9Char"/>
    <w:uiPriority w:val="9"/>
    <w:semiHidden/>
    <w:unhideWhenUsed/>
    <w:qFormat/>
    <w:rsid w:val="00C46927"/>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4779"/>
    <w:rPr>
      <w:rFonts w:asciiTheme="majorHAnsi" w:eastAsiaTheme="majorEastAsia" w:hAnsiTheme="majorHAnsi" w:cstheme="majorBidi"/>
      <w:bCs/>
      <w:color w:val="FFFFFF" w:themeColor="background1"/>
      <w:sz w:val="44"/>
      <w:szCs w:val="44"/>
    </w:rPr>
  </w:style>
  <w:style w:type="paragraph" w:styleId="ListParagraph">
    <w:name w:val="List Paragraph"/>
    <w:basedOn w:val="Normal"/>
    <w:uiPriority w:val="34"/>
    <w:qFormat/>
    <w:rsid w:val="00C46927"/>
    <w:pPr>
      <w:ind w:left="720"/>
      <w:contextualSpacing/>
    </w:pPr>
  </w:style>
  <w:style w:type="table" w:styleId="TableGrid">
    <w:name w:val="Table Grid"/>
    <w:basedOn w:val="TableNormal"/>
    <w:uiPriority w:val="59"/>
    <w:rsid w:val="00A06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65AC"/>
    <w:rPr>
      <w:color w:val="60143E"/>
      <w:u w:val="single"/>
    </w:rPr>
  </w:style>
  <w:style w:type="paragraph" w:customStyle="1" w:styleId="summary">
    <w:name w:val="summary"/>
    <w:basedOn w:val="Normal"/>
    <w:rsid w:val="00A06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A062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234"/>
    <w:rPr>
      <w:rFonts w:ascii="Tahoma" w:hAnsi="Tahoma" w:cs="Tahoma"/>
      <w:sz w:val="16"/>
      <w:szCs w:val="16"/>
    </w:rPr>
  </w:style>
  <w:style w:type="paragraph" w:styleId="NormalWeb">
    <w:name w:val="Normal (Web)"/>
    <w:basedOn w:val="Normal"/>
    <w:uiPriority w:val="99"/>
    <w:semiHidden/>
    <w:unhideWhenUsed/>
    <w:rsid w:val="00C31EB3"/>
    <w:pPr>
      <w:spacing w:before="100" w:beforeAutospacing="1" w:after="100" w:afterAutospacing="1" w:line="240" w:lineRule="auto"/>
    </w:pPr>
    <w:rPr>
      <w:rFonts w:ascii="Times New Roman" w:hAnsi="Times New Roman" w:cs="Times New Roman"/>
      <w:sz w:val="24"/>
      <w:szCs w:val="24"/>
      <w:lang w:eastAsia="en-AU"/>
    </w:rPr>
  </w:style>
  <w:style w:type="paragraph" w:styleId="Header">
    <w:name w:val="header"/>
    <w:basedOn w:val="Normal"/>
    <w:link w:val="HeaderChar"/>
    <w:uiPriority w:val="99"/>
    <w:unhideWhenUsed/>
    <w:rsid w:val="00315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884"/>
  </w:style>
  <w:style w:type="paragraph" w:styleId="Footer">
    <w:name w:val="footer"/>
    <w:basedOn w:val="Normal"/>
    <w:link w:val="FooterChar"/>
    <w:uiPriority w:val="99"/>
    <w:unhideWhenUsed/>
    <w:rsid w:val="00315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884"/>
  </w:style>
  <w:style w:type="paragraph" w:styleId="Title">
    <w:name w:val="Title"/>
    <w:basedOn w:val="Normal"/>
    <w:next w:val="Normal"/>
    <w:link w:val="TitleChar"/>
    <w:uiPriority w:val="10"/>
    <w:qFormat/>
    <w:rsid w:val="00C46927"/>
    <w:pPr>
      <w:pBdr>
        <w:bottom w:val="single" w:sz="8" w:space="4" w:color="3494BA" w:themeColor="accent1"/>
      </w:pBdr>
      <w:spacing w:after="300" w:line="240" w:lineRule="auto"/>
      <w:contextualSpacing/>
    </w:pPr>
    <w:rPr>
      <w:rFonts w:eastAsiaTheme="majorEastAsia" w:cstheme="majorBidi"/>
      <w:color w:val="292733" w:themeColor="text2" w:themeShade="BF"/>
      <w:spacing w:val="5"/>
      <w:kern w:val="28"/>
      <w:sz w:val="52"/>
      <w:szCs w:val="52"/>
    </w:rPr>
  </w:style>
  <w:style w:type="character" w:customStyle="1" w:styleId="TitleChar">
    <w:name w:val="Title Char"/>
    <w:basedOn w:val="DefaultParagraphFont"/>
    <w:link w:val="Title"/>
    <w:uiPriority w:val="10"/>
    <w:rsid w:val="00C46927"/>
    <w:rPr>
      <w:rFonts w:asciiTheme="majorHAnsi" w:eastAsiaTheme="majorEastAsia" w:hAnsiTheme="majorHAnsi" w:cstheme="majorBidi"/>
      <w:color w:val="292733" w:themeColor="text2" w:themeShade="BF"/>
      <w:spacing w:val="5"/>
      <w:kern w:val="28"/>
      <w:sz w:val="52"/>
      <w:szCs w:val="52"/>
    </w:rPr>
  </w:style>
  <w:style w:type="character" w:customStyle="1" w:styleId="Heading1Char">
    <w:name w:val="Heading 1 Char"/>
    <w:basedOn w:val="DefaultParagraphFont"/>
    <w:link w:val="Heading1"/>
    <w:uiPriority w:val="9"/>
    <w:rsid w:val="003A09FD"/>
    <w:rPr>
      <w:rFonts w:asciiTheme="majorHAnsi" w:eastAsiaTheme="majorEastAsia" w:hAnsiTheme="majorHAnsi" w:cstheme="majorBidi"/>
      <w:bCs/>
      <w:color w:val="4A7090" w:themeColor="background2" w:themeShade="80"/>
      <w:spacing w:val="-8"/>
      <w:sz w:val="56"/>
      <w:szCs w:val="56"/>
    </w:rPr>
  </w:style>
  <w:style w:type="character" w:customStyle="1" w:styleId="Heading3Char">
    <w:name w:val="Heading 3 Char"/>
    <w:basedOn w:val="DefaultParagraphFont"/>
    <w:link w:val="Heading3"/>
    <w:uiPriority w:val="9"/>
    <w:rsid w:val="00961CAA"/>
    <w:rPr>
      <w:rFonts w:asciiTheme="majorHAnsi" w:eastAsiaTheme="majorEastAsia" w:hAnsiTheme="majorHAnsi" w:cstheme="majorBidi"/>
      <w:b/>
      <w:iCs/>
      <w:color w:val="000000" w:themeColor="text1"/>
      <w:sz w:val="28"/>
      <w:szCs w:val="28"/>
    </w:rPr>
  </w:style>
  <w:style w:type="character" w:customStyle="1" w:styleId="Heading4Char">
    <w:name w:val="Heading 4 Char"/>
    <w:basedOn w:val="DefaultParagraphFont"/>
    <w:link w:val="Heading4"/>
    <w:uiPriority w:val="9"/>
    <w:rsid w:val="00244779"/>
    <w:rPr>
      <w:rFonts w:asciiTheme="majorHAnsi" w:eastAsiaTheme="majorEastAsia" w:hAnsiTheme="majorHAnsi" w:cstheme="majorBidi"/>
      <w:bCs/>
      <w:iCs/>
      <w:color w:val="3494BA" w:themeColor="accent1"/>
      <w:sz w:val="28"/>
      <w:szCs w:val="28"/>
    </w:rPr>
  </w:style>
  <w:style w:type="character" w:customStyle="1" w:styleId="Heading5Char">
    <w:name w:val="Heading 5 Char"/>
    <w:basedOn w:val="DefaultParagraphFont"/>
    <w:link w:val="Heading5"/>
    <w:uiPriority w:val="9"/>
    <w:semiHidden/>
    <w:rsid w:val="00C46927"/>
    <w:rPr>
      <w:rFonts w:asciiTheme="majorHAnsi" w:eastAsiaTheme="majorEastAsia" w:hAnsiTheme="majorHAnsi" w:cstheme="majorBidi"/>
      <w:color w:val="1A495C" w:themeColor="accent1" w:themeShade="7F"/>
    </w:rPr>
  </w:style>
  <w:style w:type="character" w:customStyle="1" w:styleId="Heading6Char">
    <w:name w:val="Heading 6 Char"/>
    <w:basedOn w:val="DefaultParagraphFont"/>
    <w:link w:val="Heading6"/>
    <w:uiPriority w:val="9"/>
    <w:semiHidden/>
    <w:rsid w:val="00C46927"/>
    <w:rPr>
      <w:rFonts w:asciiTheme="majorHAnsi" w:eastAsiaTheme="majorEastAsia" w:hAnsiTheme="majorHAnsi" w:cstheme="majorBidi"/>
      <w:i/>
      <w:iCs/>
      <w:color w:val="1A495C" w:themeColor="accent1" w:themeShade="7F"/>
    </w:rPr>
  </w:style>
  <w:style w:type="character" w:customStyle="1" w:styleId="Heading7Char">
    <w:name w:val="Heading 7 Char"/>
    <w:basedOn w:val="DefaultParagraphFont"/>
    <w:link w:val="Heading7"/>
    <w:uiPriority w:val="9"/>
    <w:semiHidden/>
    <w:rsid w:val="00C4692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46927"/>
    <w:rPr>
      <w:rFonts w:asciiTheme="majorHAnsi" w:eastAsiaTheme="majorEastAsia" w:hAnsiTheme="majorHAnsi" w:cstheme="majorBidi"/>
      <w:color w:val="3494BA" w:themeColor="accent1"/>
      <w:sz w:val="20"/>
      <w:szCs w:val="20"/>
    </w:rPr>
  </w:style>
  <w:style w:type="character" w:customStyle="1" w:styleId="Heading9Char">
    <w:name w:val="Heading 9 Char"/>
    <w:basedOn w:val="DefaultParagraphFont"/>
    <w:link w:val="Heading9"/>
    <w:uiPriority w:val="9"/>
    <w:semiHidden/>
    <w:rsid w:val="00C4692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46927"/>
    <w:pPr>
      <w:spacing w:line="240" w:lineRule="auto"/>
    </w:pPr>
    <w:rPr>
      <w:b/>
      <w:bCs/>
      <w:color w:val="3494BA" w:themeColor="accent1"/>
      <w:sz w:val="18"/>
      <w:szCs w:val="18"/>
    </w:rPr>
  </w:style>
  <w:style w:type="paragraph" w:styleId="Subtitle">
    <w:name w:val="Subtitle"/>
    <w:basedOn w:val="Normal"/>
    <w:next w:val="Normal"/>
    <w:link w:val="SubtitleChar"/>
    <w:uiPriority w:val="11"/>
    <w:qFormat/>
    <w:rsid w:val="00C46927"/>
    <w:pPr>
      <w:numPr>
        <w:ilvl w:val="1"/>
      </w:numPr>
    </w:pPr>
    <w:rPr>
      <w:rFonts w:eastAsiaTheme="majorEastAsia" w:cstheme="majorBidi"/>
      <w:i/>
      <w:iCs/>
      <w:color w:val="3494BA" w:themeColor="accent1"/>
      <w:spacing w:val="15"/>
      <w:sz w:val="24"/>
      <w:szCs w:val="24"/>
    </w:rPr>
  </w:style>
  <w:style w:type="character" w:customStyle="1" w:styleId="SubtitleChar">
    <w:name w:val="Subtitle Char"/>
    <w:basedOn w:val="DefaultParagraphFont"/>
    <w:link w:val="Subtitle"/>
    <w:uiPriority w:val="11"/>
    <w:rsid w:val="00C46927"/>
    <w:rPr>
      <w:rFonts w:asciiTheme="majorHAnsi" w:eastAsiaTheme="majorEastAsia" w:hAnsiTheme="majorHAnsi" w:cstheme="majorBidi"/>
      <w:i/>
      <w:iCs/>
      <w:color w:val="3494BA" w:themeColor="accent1"/>
      <w:spacing w:val="15"/>
      <w:sz w:val="24"/>
      <w:szCs w:val="24"/>
    </w:rPr>
  </w:style>
  <w:style w:type="character" w:styleId="Strong">
    <w:name w:val="Strong"/>
    <w:basedOn w:val="DefaultParagraphFont"/>
    <w:uiPriority w:val="22"/>
    <w:qFormat/>
    <w:rsid w:val="00C46927"/>
    <w:rPr>
      <w:b/>
      <w:bCs/>
    </w:rPr>
  </w:style>
  <w:style w:type="character" w:styleId="Emphasis">
    <w:name w:val="Emphasis"/>
    <w:basedOn w:val="DefaultParagraphFont"/>
    <w:uiPriority w:val="20"/>
    <w:qFormat/>
    <w:rsid w:val="00C46927"/>
    <w:rPr>
      <w:i/>
      <w:iCs/>
    </w:rPr>
  </w:style>
  <w:style w:type="paragraph" w:styleId="NoSpacing">
    <w:name w:val="No Spacing"/>
    <w:uiPriority w:val="1"/>
    <w:qFormat/>
    <w:rsid w:val="00C46927"/>
    <w:pPr>
      <w:spacing w:after="0" w:line="240" w:lineRule="auto"/>
    </w:pPr>
  </w:style>
  <w:style w:type="paragraph" w:styleId="Quote">
    <w:name w:val="Quote"/>
    <w:basedOn w:val="Normal"/>
    <w:next w:val="Normal"/>
    <w:link w:val="QuoteChar"/>
    <w:uiPriority w:val="29"/>
    <w:qFormat/>
    <w:rsid w:val="00C46927"/>
    <w:rPr>
      <w:i/>
      <w:iCs/>
      <w:color w:val="000000" w:themeColor="text1"/>
    </w:rPr>
  </w:style>
  <w:style w:type="character" w:customStyle="1" w:styleId="QuoteChar">
    <w:name w:val="Quote Char"/>
    <w:basedOn w:val="DefaultParagraphFont"/>
    <w:link w:val="Quote"/>
    <w:uiPriority w:val="29"/>
    <w:rsid w:val="00C46927"/>
    <w:rPr>
      <w:i/>
      <w:iCs/>
      <w:color w:val="000000" w:themeColor="text1"/>
    </w:rPr>
  </w:style>
  <w:style w:type="paragraph" w:styleId="IntenseQuote">
    <w:name w:val="Intense Quote"/>
    <w:basedOn w:val="Normal"/>
    <w:next w:val="Normal"/>
    <w:link w:val="IntenseQuoteChar"/>
    <w:uiPriority w:val="30"/>
    <w:qFormat/>
    <w:rsid w:val="00C46927"/>
    <w:pPr>
      <w:pBdr>
        <w:bottom w:val="single" w:sz="4" w:space="4" w:color="3494BA" w:themeColor="accent1"/>
      </w:pBdr>
      <w:spacing w:before="200" w:after="280"/>
      <w:ind w:left="936" w:right="936"/>
    </w:pPr>
    <w:rPr>
      <w:b/>
      <w:bCs/>
      <w:i/>
      <w:iCs/>
      <w:color w:val="3494BA" w:themeColor="accent1"/>
    </w:rPr>
  </w:style>
  <w:style w:type="character" w:customStyle="1" w:styleId="IntenseQuoteChar">
    <w:name w:val="Intense Quote Char"/>
    <w:basedOn w:val="DefaultParagraphFont"/>
    <w:link w:val="IntenseQuote"/>
    <w:uiPriority w:val="30"/>
    <w:rsid w:val="00C46927"/>
    <w:rPr>
      <w:b/>
      <w:bCs/>
      <w:i/>
      <w:iCs/>
      <w:color w:val="3494BA" w:themeColor="accent1"/>
    </w:rPr>
  </w:style>
  <w:style w:type="character" w:styleId="SubtleEmphasis">
    <w:name w:val="Subtle Emphasis"/>
    <w:basedOn w:val="DefaultParagraphFont"/>
    <w:uiPriority w:val="19"/>
    <w:qFormat/>
    <w:rsid w:val="00C46927"/>
    <w:rPr>
      <w:i/>
      <w:iCs/>
      <w:color w:val="808080" w:themeColor="text1" w:themeTint="7F"/>
    </w:rPr>
  </w:style>
  <w:style w:type="character" w:styleId="IntenseEmphasis">
    <w:name w:val="Intense Emphasis"/>
    <w:basedOn w:val="DefaultParagraphFont"/>
    <w:uiPriority w:val="21"/>
    <w:qFormat/>
    <w:rsid w:val="00C46927"/>
    <w:rPr>
      <w:b/>
      <w:bCs/>
      <w:i/>
      <w:iCs/>
      <w:color w:val="3494BA" w:themeColor="accent1"/>
    </w:rPr>
  </w:style>
  <w:style w:type="character" w:styleId="SubtleReference">
    <w:name w:val="Subtle Reference"/>
    <w:basedOn w:val="DefaultParagraphFont"/>
    <w:uiPriority w:val="31"/>
    <w:qFormat/>
    <w:rsid w:val="006A0AF7"/>
    <w:rPr>
      <w:color w:val="C00000"/>
    </w:rPr>
  </w:style>
  <w:style w:type="character" w:styleId="IntenseReference">
    <w:name w:val="Intense Reference"/>
    <w:basedOn w:val="DefaultParagraphFont"/>
    <w:uiPriority w:val="32"/>
    <w:qFormat/>
    <w:rsid w:val="00C46927"/>
    <w:rPr>
      <w:b/>
      <w:bCs/>
      <w:smallCaps/>
      <w:color w:val="58B6C0" w:themeColor="accent2"/>
      <w:spacing w:val="5"/>
      <w:u w:val="single"/>
    </w:rPr>
  </w:style>
  <w:style w:type="character" w:styleId="BookTitle">
    <w:name w:val="Book Title"/>
    <w:basedOn w:val="DefaultParagraphFont"/>
    <w:uiPriority w:val="33"/>
    <w:qFormat/>
    <w:rsid w:val="00C46927"/>
    <w:rPr>
      <w:b/>
      <w:bCs/>
      <w:smallCaps/>
      <w:spacing w:val="5"/>
    </w:rPr>
  </w:style>
  <w:style w:type="paragraph" w:styleId="TOCHeading">
    <w:name w:val="TOC Heading"/>
    <w:basedOn w:val="Heading1"/>
    <w:next w:val="Normal"/>
    <w:uiPriority w:val="39"/>
    <w:semiHidden/>
    <w:unhideWhenUsed/>
    <w:qFormat/>
    <w:rsid w:val="00C46927"/>
    <w:pPr>
      <w:outlineLvl w:val="9"/>
    </w:pPr>
  </w:style>
  <w:style w:type="paragraph" w:customStyle="1" w:styleId="HD1">
    <w:name w:val="HD1"/>
    <w:basedOn w:val="Title"/>
    <w:qFormat/>
    <w:rsid w:val="0039243C"/>
    <w:rPr>
      <w:color w:val="000000" w:themeColor="text1"/>
    </w:rPr>
  </w:style>
  <w:style w:type="paragraph" w:customStyle="1" w:styleId="Tableheading">
    <w:name w:val="Table heading"/>
    <w:basedOn w:val="Normal"/>
    <w:qFormat/>
    <w:rsid w:val="002327B7"/>
    <w:pPr>
      <w:spacing w:after="0"/>
      <w:ind w:left="507" w:right="382"/>
    </w:pPr>
    <w:rPr>
      <w:b/>
      <w:color w:val="60143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39875">
      <w:bodyDiv w:val="1"/>
      <w:marLeft w:val="0"/>
      <w:marRight w:val="0"/>
      <w:marTop w:val="0"/>
      <w:marBottom w:val="0"/>
      <w:divBdr>
        <w:top w:val="none" w:sz="0" w:space="0" w:color="auto"/>
        <w:left w:val="none" w:sz="0" w:space="0" w:color="auto"/>
        <w:bottom w:val="none" w:sz="0" w:space="0" w:color="auto"/>
        <w:right w:val="none" w:sz="0" w:space="0" w:color="auto"/>
      </w:divBdr>
    </w:div>
    <w:div w:id="165310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LouLou</dc:creator>
  <cp:lastModifiedBy>Assyat David</cp:lastModifiedBy>
  <cp:revision>3</cp:revision>
  <dcterms:created xsi:type="dcterms:W3CDTF">2017-07-18T00:48:00Z</dcterms:created>
  <dcterms:modified xsi:type="dcterms:W3CDTF">2017-07-18T00:48:00Z</dcterms:modified>
</cp:coreProperties>
</file>